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6144">
      <w:pPr>
        <w:pStyle w:val="4"/>
        <w:spacing w:after="237"/>
        <w:ind w:left="2835"/>
        <w:jc w:val="left"/>
      </w:pPr>
      <w:bookmarkStart w:id="0" w:name="02-577"/>
      <w:bookmarkStart w:id="1" w:name="_GoBack"/>
      <w:bookmarkEnd w:id="0"/>
      <w:bookmarkEnd w:id="1"/>
      <w:r>
        <w:rPr>
          <w:rStyle w:val="Oldalszm"/>
          <w:b/>
          <w:bCs/>
        </w:rPr>
        <w:t>577</w:t>
      </w:r>
      <w:r>
        <w:t>72. A DEÁKOS ROKOKÓ KÖLTÉSZET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256144">
      <w:pPr>
        <w:spacing w:after="0"/>
        <w:jc w:val="left"/>
      </w:pPr>
      <w:r>
        <w:t>A szerzetes-költők az előző periódusban túlnyomórészt világiak számára írták latin verseiket és arra törekedtek, hogy olvasóik gyönyörködtető előadá</w:t>
      </w:r>
      <w:r>
        <w:t>sban hasznos igazságokat, vallás-erkölcsi tanulságokat ismerjenek meg belőlük. A rokokó időszakban is betöltöttek hasonló funkciót, a nemesi olvasóközönség számára írt újabb verses műveikben azonban a vallási haszon korábban uralkodó elvét háttérbe szoríto</w:t>
      </w:r>
      <w:r>
        <w:t>tta a tudományos, világi ismeretek terjesztésének programja. Az ennek jegyében készült s az előző fejezetben megismert tudomány-népszerűsítő tanköltemények mellett kialakult azonban a költői tevékenységnek egy újfajta ága is: a szellemi elit belterjes, öns</w:t>
      </w:r>
      <w:r>
        <w:t xml:space="preserve">zórakoztató poézise. A </w:t>
      </w:r>
      <w:proofErr w:type="spellStart"/>
      <w:r>
        <w:t>világiasodó</w:t>
      </w:r>
      <w:proofErr w:type="spellEnd"/>
      <w:r>
        <w:t xml:space="preserve"> egyházi értelmiség poétája nem erkölcsprédikátor már, aki szent hevületbe akarja ragadni olvasóit, de még nem is a következő kor látója, a nemzet ügyének vátesze, hanem egyszerűen csak "boldog a versírásban", mint Faludi </w:t>
      </w:r>
      <w:r>
        <w:t xml:space="preserve">mondotta. Ez a </w:t>
      </w:r>
      <w:proofErr w:type="spellStart"/>
      <w:r>
        <w:t>hedonisztikus</w:t>
      </w:r>
      <w:proofErr w:type="spellEnd"/>
      <w:r>
        <w:t xml:space="preserve"> magatartás lényegében rokon a nemesi költők ars poeticájával; a papi, értelmiségi szerzők költészetét csupán a deákos jelleg és az ezzel járó – ekkor még csaknem kizárólagos – </w:t>
      </w:r>
      <w:proofErr w:type="spellStart"/>
      <w:r>
        <w:t>latinnyelvűség</w:t>
      </w:r>
      <w:proofErr w:type="spellEnd"/>
      <w:r>
        <w:t xml:space="preserve"> különbözteti meg amazok munkásságátó</w:t>
      </w:r>
      <w:r>
        <w:t xml:space="preserve">l. Faludi verseit is nyelvük, olaszos-németes irányuk és világi közönségük utalja a nemesi költészet szférájába, eltérően rend- és sorstársainak erősebben intellektuális, klasszicizáló tendenciáról tanúskodó, deákos </w:t>
      </w:r>
      <w:proofErr w:type="spellStart"/>
      <w:r>
        <w:t>poétai</w:t>
      </w:r>
      <w:proofErr w:type="spellEnd"/>
      <w:r>
        <w:t xml:space="preserve"> világától. A gáláns líra verstípu</w:t>
      </w:r>
      <w:r>
        <w:t>saival és dalformáival szemben e deákos rokokó költők az antik költői műfajoknak (elégia, óda, epigramma) és a klasszikus verselésnek hódoltak.</w:t>
      </w:r>
    </w:p>
    <w:p w:rsidR="00000000" w:rsidRDefault="00256144">
      <w:pPr>
        <w:pStyle w:val="5"/>
      </w:pPr>
      <w:r>
        <w:t>Az elégia- és ódaköltészet</w:t>
      </w:r>
    </w:p>
    <w:p w:rsidR="00000000" w:rsidRDefault="00256144">
      <w:pPr>
        <w:spacing w:after="0"/>
        <w:jc w:val="left"/>
      </w:pPr>
      <w:r>
        <w:t xml:space="preserve">A barokk kor utolsó periódusának irodalmat kedvelő, tudós </w:t>
      </w:r>
      <w:proofErr w:type="spellStart"/>
      <w:r>
        <w:t>társasélete</w:t>
      </w:r>
      <w:proofErr w:type="spellEnd"/>
      <w:r>
        <w:t xml:space="preserve"> virágoztatta fe</w:t>
      </w:r>
      <w:r>
        <w:t xml:space="preserve">l az elégia- és ódaköltészetet: az előbbit a jezsuita Makó Pál honosította meg, az utóbbinak a piarista </w:t>
      </w:r>
      <w:proofErr w:type="spellStart"/>
      <w:r>
        <w:t>Hannulik</w:t>
      </w:r>
      <w:proofErr w:type="spellEnd"/>
      <w:r>
        <w:t xml:space="preserve"> János Krizosztom volt legnagyobb mestere.</w:t>
      </w:r>
    </w:p>
    <w:p w:rsidR="00000000" w:rsidRDefault="00256144">
      <w:pPr>
        <w:spacing w:after="0"/>
        <w:jc w:val="left"/>
      </w:pPr>
      <w:r>
        <w:t>Makó Pál (1724–1793), aki később mint kiváló matematikus és fizikus tette ismertté nevét, nem írt sok</w:t>
      </w:r>
      <w:r>
        <w:t xml:space="preserve"> verset, de kis kötete több változatban terjedt és mintaképpé vált. (Legfontosabb kiadásai: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Elegiarum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unicus</w:t>
      </w:r>
      <w:proofErr w:type="spellEnd"/>
      <w:r>
        <w:t xml:space="preserve"> (Elégiák egy könyve), Nagyszombat 1752;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Carminum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tres</w:t>
      </w:r>
      <w:proofErr w:type="spellEnd"/>
      <w:r>
        <w:t xml:space="preserve"> (Versek három könyvben), Nagyszombat 1764). A barokk hagyománnyal nem szakított: </w:t>
      </w:r>
      <w:r>
        <w:t xml:space="preserve">Ovidiust utánzó rendtársainak, </w:t>
      </w:r>
      <w:proofErr w:type="spellStart"/>
      <w:r>
        <w:t>Schez</w:t>
      </w:r>
      <w:proofErr w:type="spellEnd"/>
      <w:r>
        <w:t xml:space="preserve"> Péternek és Adányi Andrásnak műveit megbecsülte, nagyra tartotta Gyöngyösi szerzeményeit, de új tekintélyként </w:t>
      </w:r>
      <w:proofErr w:type="spellStart"/>
      <w:r>
        <w:t>Corneille</w:t>
      </w:r>
      <w:proofErr w:type="spellEnd"/>
      <w:r>
        <w:t xml:space="preserve"> és </w:t>
      </w:r>
      <w:proofErr w:type="spellStart"/>
      <w:r>
        <w:t>Metastasio</w:t>
      </w:r>
      <w:proofErr w:type="spellEnd"/>
      <w:r>
        <w:t xml:space="preserve"> is megjelent irodalmi világában. A hősi barokk póztól pedig tudatosan elhatárolta mag</w:t>
      </w:r>
      <w:r>
        <w:t xml:space="preserve">át kötetének bevezető versében, melyet szemmel láthatólag </w:t>
      </w:r>
      <w:proofErr w:type="spellStart"/>
      <w:r>
        <w:t>Bartakovics</w:t>
      </w:r>
      <w:proofErr w:type="spellEnd"/>
      <w:r>
        <w:t xml:space="preserve"> József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Metallurgicon</w:t>
      </w:r>
      <w:r>
        <w:t>ának</w:t>
      </w:r>
      <w:proofErr w:type="spellEnd"/>
      <w:r>
        <w:t xml:space="preserve"> hatására írt. Makónak ebben megjelenik </w:t>
      </w:r>
      <w:proofErr w:type="spellStart"/>
      <w:r>
        <w:t>Elegeia</w:t>
      </w:r>
      <w:proofErr w:type="spellEnd"/>
      <w:r>
        <w:t>, és azt tanácsolja, hogy legalább egy időre hagyjon fel heroikus vers-tervével. és írja azt, amit a mindennapi éle</w:t>
      </w:r>
      <w:r>
        <w:t xml:space="preserve">t vagy egyéni sorsa kínálnak témául. A költő még ellenvetést tesz, mondván, hogy a köznépet csak az újdonság, a mitológia </w:t>
      </w:r>
      <w:bookmarkStart w:id="2" w:name="02-578"/>
      <w:bookmarkEnd w:id="2"/>
      <w:proofErr w:type="spellStart"/>
      <w:r>
        <w:rPr>
          <w:rStyle w:val="Oldalszm"/>
        </w:rPr>
        <w:t>578</w:t>
      </w:r>
      <w:r>
        <w:t>és</w:t>
      </w:r>
      <w:proofErr w:type="spellEnd"/>
      <w:r>
        <w:t xml:space="preserve"> a harcok érdeklik, de azért megfogadja a tanácsot, s elégiáiban betegségéről, születésnapjáról, utazásáról s hasonló</w:t>
      </w:r>
      <w:r>
        <w:t xml:space="preserve">król ír. A régi, </w:t>
      </w:r>
      <w:proofErr w:type="spellStart"/>
      <w:r>
        <w:t>heroida-műfaj</w:t>
      </w:r>
      <w:proofErr w:type="spellEnd"/>
      <w:r>
        <w:t xml:space="preserve"> baráti levéllé egyszerűsödve irodalmi nézeteinek kifejtésére szolgál (</w:t>
      </w:r>
      <w:r>
        <w:rPr>
          <w:i/>
          <w:iCs/>
        </w:rPr>
        <w:t xml:space="preserve">Ad </w:t>
      </w:r>
      <w:proofErr w:type="spellStart"/>
      <w:r>
        <w:rPr>
          <w:i/>
          <w:iCs/>
        </w:rPr>
        <w:t>amicum</w:t>
      </w:r>
      <w:proofErr w:type="spellEnd"/>
      <w:r>
        <w:t xml:space="preserve"> (Egy baráthoz)), s alkalmat talál arra is, hogy anekdotát mondjon el, vagy állatmesét dolgozzon fel önálló versben (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corvo</w:t>
      </w:r>
      <w:proofErr w:type="spellEnd"/>
      <w:r>
        <w:t xml:space="preserve"> (A holló)).</w:t>
      </w:r>
    </w:p>
    <w:p w:rsidR="00000000" w:rsidRDefault="00256144">
      <w:pPr>
        <w:spacing w:after="0"/>
        <w:jc w:val="left"/>
      </w:pPr>
      <w:proofErr w:type="spellStart"/>
      <w:r>
        <w:t>Hannulik</w:t>
      </w:r>
      <w:proofErr w:type="spellEnd"/>
      <w:r>
        <w:t xml:space="preserve"> János Krizosztom (1745–1816) csaknem 40 esztendőt töltött rendje nagykárolyi iskolájában, ahol Károlyi Antal pártfogása alatt dolgozott és nyomatta ki nagyszámú alkalmi versét és gyűjteményes kötetét (1780–81). Nagy tisztelője volt </w:t>
      </w:r>
      <w:proofErr w:type="spellStart"/>
      <w:r>
        <w:t>Metastasiónak</w:t>
      </w:r>
      <w:proofErr w:type="spellEnd"/>
      <w:r>
        <w:t>, egyik ve</w:t>
      </w:r>
      <w:r>
        <w:t xml:space="preserve">rsének latin fordításával aratta első sikerét (1776); legfőbb példaképe azonban Horatius volt. Az új-latinok közül pedig az Európa-szerte elismert lengyel jezsuita költő, Matthias </w:t>
      </w:r>
      <w:proofErr w:type="spellStart"/>
      <w:r>
        <w:t>Casimir</w:t>
      </w:r>
      <w:proofErr w:type="spellEnd"/>
      <w:r>
        <w:t xml:space="preserve"> </w:t>
      </w:r>
      <w:proofErr w:type="spellStart"/>
      <w:r>
        <w:t>Sarbiewski</w:t>
      </w:r>
      <w:proofErr w:type="spellEnd"/>
      <w:r>
        <w:t xml:space="preserve"> (1596–1640) hatását mutatták ki versein. </w:t>
      </w:r>
      <w:proofErr w:type="spellStart"/>
      <w:r>
        <w:t>Hannulik</w:t>
      </w:r>
      <w:proofErr w:type="spellEnd"/>
      <w:r>
        <w:t xml:space="preserve"> bámulat</w:t>
      </w:r>
      <w:r>
        <w:t>os termékenységgel, nagy erudícióval és találékonysággal írta üdvözlő verseit, melyekkel Rómától a cári udvarig nemzetközi elismertetést vívott ki magának. Moralizálása egyfelől a vallásosság, másfelől a nemesi hazafiság jegyében áll. 1790-ben a nemesi ell</w:t>
      </w:r>
      <w:r>
        <w:t>enálláshoz csatlakozott, magasztalta a nemesi "aranyszabadság"</w:t>
      </w:r>
      <w:proofErr w:type="spellStart"/>
      <w:r>
        <w:t>-ot</w:t>
      </w:r>
      <w:proofErr w:type="spellEnd"/>
      <w:r>
        <w:t xml:space="preserve">; támadta a nemzeti nyelvet és szokásokat megvető </w:t>
      </w:r>
      <w:r>
        <w:lastRenderedPageBreak/>
        <w:t>arisztokratákat. Népszerűvé vált költeménye, az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Ode</w:t>
      </w:r>
      <w:proofErr w:type="spellEnd"/>
      <w:r>
        <w:rPr>
          <w:i/>
          <w:iCs/>
        </w:rPr>
        <w:t xml:space="preserve"> ad </w:t>
      </w:r>
      <w:proofErr w:type="spellStart"/>
      <w:r>
        <w:rPr>
          <w:i/>
          <w:iCs/>
        </w:rPr>
        <w:t>libertatem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Hungaricam</w:t>
      </w:r>
      <w:proofErr w:type="spellEnd"/>
      <w:r>
        <w:t xml:space="preserve"> (Óda a magyar szabadsághoz) szerint a jozefinista évtizedben a h</w:t>
      </w:r>
      <w:r>
        <w:t xml:space="preserve">azaárulás erénynek számított, s aki szembe mert szállni a császár intézkedéseivel, börtönbe került vagy őrültnek bélyegezték. Egyébként irtózva beszélt a tudatlan tömegről, eszménye a művelt, vallásos és az ősök erényeit követő </w:t>
      </w:r>
      <w:proofErr w:type="spellStart"/>
      <w:r>
        <w:t>nemesúr</w:t>
      </w:r>
      <w:proofErr w:type="spellEnd"/>
      <w:r>
        <w:t xml:space="preserve"> volt.</w:t>
      </w:r>
    </w:p>
    <w:p w:rsidR="00000000" w:rsidRDefault="00256144">
      <w:pPr>
        <w:pStyle w:val="5"/>
      </w:pPr>
      <w:r>
        <w:t>Az epigramma</w:t>
      </w:r>
    </w:p>
    <w:p w:rsidR="00000000" w:rsidRDefault="00256144">
      <w:pPr>
        <w:spacing w:after="0"/>
        <w:jc w:val="left"/>
      </w:pPr>
      <w:r>
        <w:t>A</w:t>
      </w:r>
      <w:r>
        <w:t xml:space="preserve">z ügyes formát és a tudós szellemességet kedvelő kor legjellemzőbb és legtöbbre becsült műfaja az epigramma lett, amelyben politikai és vallásos nevelést célzó maximákat, aforizmákat, társalgást élénkítő anekdotákat fogalmaztak meg a deákos irodalmi ízlés </w:t>
      </w:r>
      <w:r>
        <w:t>szerint. Legnevesebb művelője a jezsuitának indult, majd világi pappá vált Babai Ferenc (1742–1778) kijelentette, hogy az epigramma az egész költészetnek a lelke, mert az "</w:t>
      </w:r>
      <w:proofErr w:type="spellStart"/>
      <w:r>
        <w:t>argutiá</w:t>
      </w:r>
      <w:proofErr w:type="spellEnd"/>
      <w:r>
        <w:t>"</w:t>
      </w:r>
      <w:proofErr w:type="spellStart"/>
      <w:r>
        <w:t>-val</w:t>
      </w:r>
      <w:proofErr w:type="spellEnd"/>
      <w:r>
        <w:t xml:space="preserve"> játszó szellem leginkább ebben </w:t>
      </w:r>
      <w:proofErr w:type="spellStart"/>
      <w:r>
        <w:t>nyilatkozhatik</w:t>
      </w:r>
      <w:proofErr w:type="spellEnd"/>
      <w:r>
        <w:t xml:space="preserve"> meg, s a tudós emberek ez</w:t>
      </w:r>
      <w:r>
        <w:t>zel teszik nyájassá a társalgást.</w:t>
      </w:r>
    </w:p>
    <w:p w:rsidR="00000000" w:rsidRDefault="00256144">
      <w:pPr>
        <w:spacing w:after="0"/>
        <w:jc w:val="left"/>
      </w:pPr>
      <w:r>
        <w:t>Babai Ferenc műveinek egyik csoportjában epigrammákba foglalta a rendi ország legfőbb vezetőit: a királyokat, a nádorokat és az esztergomi érsekeket (</w:t>
      </w:r>
      <w:proofErr w:type="spellStart"/>
      <w:r>
        <w:rPr>
          <w:i/>
          <w:iCs/>
        </w:rPr>
        <w:t>Ungariae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reges</w:t>
      </w:r>
      <w:proofErr w:type="spellEnd"/>
      <w:r>
        <w:t xml:space="preserve"> (Magyarország királyai), Nagyszombat 1773;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Ungariae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palat</w:t>
      </w:r>
      <w:r>
        <w:rPr>
          <w:i/>
          <w:iCs/>
        </w:rPr>
        <w:t>ini</w:t>
      </w:r>
      <w:proofErr w:type="spellEnd"/>
      <w:r>
        <w:t xml:space="preserve"> (Magyarország nádorai), Nagyszombat 1775;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Archi-episcopi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Strigonienses</w:t>
      </w:r>
      <w:proofErr w:type="spellEnd"/>
      <w:r>
        <w:t xml:space="preserve"> (Esztergomi érsekek), Nagyszombat 1776). Tárgyilag pontosságra törekedett, a jezsuita történetírás legfrissebb eredményeit értékesítette. Stílusa szándékosan egyszerű volt, a fenség</w:t>
      </w:r>
      <w:r>
        <w:t xml:space="preserve">es emelkedettséget tudatosan elkerülte, igyekezett azonban portréit költői megjegyzésekkel szórakoztató </w:t>
      </w:r>
      <w:bookmarkStart w:id="3" w:name="02-579"/>
      <w:bookmarkEnd w:id="3"/>
      <w:proofErr w:type="spellStart"/>
      <w:r>
        <w:rPr>
          <w:rStyle w:val="Oldalszm"/>
        </w:rPr>
        <w:t>579</w:t>
      </w:r>
      <w:r>
        <w:t>olvasmánnyá</w:t>
      </w:r>
      <w:proofErr w:type="spellEnd"/>
      <w:r>
        <w:t xml:space="preserve"> tenni. Egyéb epigrammáinak gyűjteményéből (</w:t>
      </w:r>
      <w:proofErr w:type="spellStart"/>
      <w:r>
        <w:rPr>
          <w:i/>
          <w:iCs/>
        </w:rPr>
        <w:t>Epigrammatum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miscellaneorum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sacrorum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profanorum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libri</w:t>
      </w:r>
      <w:proofErr w:type="spellEnd"/>
      <w:r>
        <w:rPr>
          <w:i/>
          <w:iCs/>
        </w:rPr>
        <w:t xml:space="preserve"> III</w:t>
      </w:r>
      <w:r>
        <w:t xml:space="preserve"> (Egyházi és világi e</w:t>
      </w:r>
      <w:r>
        <w:t>pigrammák vegyesen, három könyvben), Nagyszombat 1777) a kor társasági életet élő tudós-költőjének vonásai bontakoznak ki. A vallásos darabok között feltűnően sok a gyermek Jézushoz szóló, bájt és kedvességet sugárzó vers; s nem hiányoznak a deistákat táma</w:t>
      </w:r>
      <w:r>
        <w:t>dó sorok sem. Epigrammákba foglalta a későbbi II. József rögtönzött szellemes mondásait, s számos verset írt egyes személyekhez. A címzettek között van az osztrák Michael Denis (1729–1800), az ünnepelt német–latin költő; a hazaiak közül pedig a jezsuita sz</w:t>
      </w:r>
      <w:r>
        <w:t>ellemi élet szinte minden kiválósága (</w:t>
      </w:r>
      <w:proofErr w:type="spellStart"/>
      <w:r>
        <w:t>Kaprinai</w:t>
      </w:r>
      <w:proofErr w:type="spellEnd"/>
      <w:r>
        <w:t xml:space="preserve"> István, Katona István, Pray György, Molnár János stb.).</w:t>
      </w:r>
    </w:p>
    <w:p w:rsidR="00000000" w:rsidRDefault="00256144">
      <w:pPr>
        <w:spacing w:after="0"/>
        <w:jc w:val="left"/>
      </w:pPr>
      <w:r>
        <w:t xml:space="preserve">Hasonló szellemű a piarista </w:t>
      </w:r>
      <w:proofErr w:type="spellStart"/>
      <w:r>
        <w:t>Bielek</w:t>
      </w:r>
      <w:proofErr w:type="spellEnd"/>
      <w:r>
        <w:t xml:space="preserve"> László (1744–1807) epigramma-gyűjteménye (</w:t>
      </w:r>
      <w:proofErr w:type="spellStart"/>
      <w:r>
        <w:rPr>
          <w:i/>
          <w:iCs/>
        </w:rPr>
        <w:t>Epigrammatum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libri</w:t>
      </w:r>
      <w:proofErr w:type="spellEnd"/>
      <w:r>
        <w:rPr>
          <w:i/>
          <w:iCs/>
        </w:rPr>
        <w:t xml:space="preserve"> III</w:t>
      </w:r>
      <w:r>
        <w:t xml:space="preserve"> (Epigrammák három könyve), Pest 1789), melyben jezsui</w:t>
      </w:r>
      <w:r>
        <w:t>ták helyett természetesen a szerző rendtársai szerepelnek legtöbbet (</w:t>
      </w:r>
      <w:proofErr w:type="spellStart"/>
      <w:r>
        <w:t>Hannulik</w:t>
      </w:r>
      <w:proofErr w:type="spellEnd"/>
      <w:r>
        <w:t xml:space="preserve">, Horányi Elek, </w:t>
      </w:r>
      <w:proofErr w:type="spellStart"/>
      <w:r>
        <w:t>Pállya</w:t>
      </w:r>
      <w:proofErr w:type="spellEnd"/>
      <w:r>
        <w:t xml:space="preserve"> István stb.). </w:t>
      </w:r>
      <w:proofErr w:type="spellStart"/>
      <w:r>
        <w:t>Bielek</w:t>
      </w:r>
      <w:proofErr w:type="spellEnd"/>
      <w:r>
        <w:t xml:space="preserve"> közelebb állt a barokk verstechnikához, mint Babai: írt anagrammákat, magyarázott szimbólumokat, s ezeket külön könyvbe gyűjtötte össze</w:t>
      </w:r>
      <w:r>
        <w:t>. Voltaire ellen 20 epigrammát nyomatott ki, de a kor vallásosságának megfelelően ellensége volt a bigottságnak is: "A hit dolgában semmit sem hinni bolondság, mindent hinni ostobaság. Az okosság arra tanét bennünket, hogy a középúton járjunk, tartván mind</w:t>
      </w:r>
      <w:r>
        <w:t xml:space="preserve"> a soktól, mind a kevéstől" – írta egyik írásában (</w:t>
      </w:r>
      <w:r>
        <w:rPr>
          <w:i/>
          <w:iCs/>
        </w:rPr>
        <w:t>Erkölcsi oktatás,</w:t>
      </w:r>
      <w:r>
        <w:t xml:space="preserve"> Kassa 1792).</w:t>
      </w:r>
    </w:p>
    <w:p w:rsidR="00000000" w:rsidRDefault="00256144">
      <w:pPr>
        <w:spacing w:after="0"/>
        <w:jc w:val="left"/>
      </w:pPr>
      <w:r>
        <w:t>Epigrammatikus jellegűek vagy a prózai "elmefuttatások"</w:t>
      </w:r>
      <w:proofErr w:type="spellStart"/>
      <w:r>
        <w:t>-hoz</w:t>
      </w:r>
      <w:proofErr w:type="spellEnd"/>
      <w:r>
        <w:t xml:space="preserve"> állnak közel a jezsuitának indult Szerdahely György Alajos (1740–1808) versei is. A szerző az egyetem első esztéti</w:t>
      </w:r>
      <w:r>
        <w:t>ka-professzora (1774–1784) volt, s ebben a minőségben adta ki e tudományszak első latin nyelvű, racionalista felfogású hazai kompendiumait (</w:t>
      </w:r>
      <w:proofErr w:type="spellStart"/>
      <w:r>
        <w:rPr>
          <w:i/>
          <w:iCs/>
        </w:rPr>
        <w:t>Aesthetica</w:t>
      </w:r>
      <w:proofErr w:type="spellEnd"/>
      <w:r>
        <w:rPr>
          <w:i/>
          <w:iCs/>
        </w:rPr>
        <w:t>,</w:t>
      </w:r>
      <w:r>
        <w:t xml:space="preserve"> Buda 1778;</w:t>
      </w:r>
      <w:r>
        <w:rPr>
          <w:i/>
          <w:iCs/>
        </w:rPr>
        <w:t xml:space="preserve"> Ars poetica </w:t>
      </w:r>
      <w:proofErr w:type="spellStart"/>
      <w:r>
        <w:rPr>
          <w:i/>
          <w:iCs/>
        </w:rPr>
        <w:t>generalis</w:t>
      </w:r>
      <w:proofErr w:type="spellEnd"/>
      <w:r>
        <w:t xml:space="preserve"> (Általános költészettan), Buda 1783;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Poesis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narrativa</w:t>
      </w:r>
      <w:proofErr w:type="spellEnd"/>
      <w:r>
        <w:t xml:space="preserve"> (Az elbeszélő köl</w:t>
      </w:r>
      <w:r>
        <w:t>tészet), Buda 1784;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Poesis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dramatica</w:t>
      </w:r>
      <w:proofErr w:type="spellEnd"/>
      <w:r>
        <w:t xml:space="preserve"> (A drámai költészet), Buda 1784).</w:t>
      </w:r>
      <w:r>
        <w:rPr>
          <w:i/>
          <w:iCs/>
        </w:rPr>
        <w:t xml:space="preserve"> Silva </w:t>
      </w:r>
      <w:proofErr w:type="spellStart"/>
      <w:r>
        <w:rPr>
          <w:i/>
          <w:iCs/>
        </w:rPr>
        <w:t>Parnassi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Pannonii</w:t>
      </w:r>
      <w:proofErr w:type="spellEnd"/>
      <w:r>
        <w:t xml:space="preserve"> (A magyar </w:t>
      </w:r>
      <w:proofErr w:type="spellStart"/>
      <w:r>
        <w:t>Parnassus</w:t>
      </w:r>
      <w:proofErr w:type="spellEnd"/>
      <w:r>
        <w:t xml:space="preserve"> költői leleményei. (A "Silva" szó </w:t>
      </w:r>
      <w:proofErr w:type="spellStart"/>
      <w:r>
        <w:t>Papinius</w:t>
      </w:r>
      <w:proofErr w:type="spellEnd"/>
      <w:r>
        <w:t xml:space="preserve"> </w:t>
      </w:r>
      <w:proofErr w:type="spellStart"/>
      <w:r>
        <w:t>Statius</w:t>
      </w:r>
      <w:proofErr w:type="spellEnd"/>
      <w:r>
        <w:t xml:space="preserve"> római költő kötetére utal, aki ilyen címen foglalta egybe alkalmi rögtönzéseit.)), (Bécs 1</w:t>
      </w:r>
      <w:r>
        <w:t>788) című verskötetében tág teret kap a kedélyes baráti társaság, a falusi idill; a betlehemi pásztorok vergiliusi eklogában készülnek a gyermek Jézus imádására (</w:t>
      </w:r>
      <w:r>
        <w:rPr>
          <w:i/>
          <w:iCs/>
        </w:rPr>
        <w:t xml:space="preserve">Ecloga de </w:t>
      </w:r>
      <w:proofErr w:type="spellStart"/>
      <w:r>
        <w:rPr>
          <w:i/>
          <w:iCs/>
        </w:rPr>
        <w:t>nativitate</w:t>
      </w:r>
      <w:proofErr w:type="spellEnd"/>
      <w:r>
        <w:rPr>
          <w:i/>
          <w:iCs/>
        </w:rPr>
        <w:t xml:space="preserve"> Domini</w:t>
      </w:r>
      <w:r>
        <w:t xml:space="preserve"> (Ekloga az Úr születéséről)); s Ámor is szóba kerül különböző vona</w:t>
      </w:r>
      <w:r>
        <w:t>tkozásokban. A kedves játékosság, életbölcsesség mellett a</w:t>
      </w:r>
      <w:r>
        <w:rPr>
          <w:i/>
          <w:iCs/>
        </w:rPr>
        <w:t xml:space="preserve"> Silva</w:t>
      </w:r>
      <w:r>
        <w:t xml:space="preserve"> másik fő jellemvonása a tudományos jelleg. Szerdahely Hell Miksának (1720–1792), a kiváló csillagásznak ajánlotta kötetét; költeményeit tudós jegyzetekkel, tárgyi és nyelvi magyarázatokkal, l</w:t>
      </w:r>
      <w:r>
        <w:t>atin és görög idézetekkel kísérte végig; a versek címzettjei is művelt egyháziak és világiak, akik értékelni tudták a szerző tanultságát és szellemének mozgékonyságát.</w:t>
      </w:r>
    </w:p>
    <w:p w:rsidR="00000000" w:rsidRDefault="00256144">
      <w:pPr>
        <w:pStyle w:val="5"/>
      </w:pPr>
      <w:bookmarkStart w:id="4" w:name="02-580"/>
      <w:bookmarkEnd w:id="4"/>
      <w:r>
        <w:rPr>
          <w:rStyle w:val="Oldalszm"/>
          <w:b/>
          <w:bCs/>
        </w:rPr>
        <w:lastRenderedPageBreak/>
        <w:t>580</w:t>
      </w:r>
      <w:r>
        <w:t>A magyar nyelvű deákos költészet kezdetei</w:t>
      </w:r>
    </w:p>
    <w:p w:rsidR="00000000" w:rsidRDefault="00256144">
      <w:pPr>
        <w:spacing w:after="0"/>
        <w:jc w:val="left"/>
      </w:pPr>
      <w:r>
        <w:t>A 18. század második felének la</w:t>
      </w:r>
      <w:r>
        <w:t xml:space="preserve">tin költészete 1760 körül magyarosodásnak indult, s a hetvenes évek végére már a magyar nyelvű időmértékes verselés erőteljes irányzatává, az ún. "deákos </w:t>
      </w:r>
      <w:proofErr w:type="spellStart"/>
      <w:r>
        <w:t>iskolá</w:t>
      </w:r>
      <w:proofErr w:type="spellEnd"/>
      <w:r>
        <w:t>"</w:t>
      </w:r>
      <w:proofErr w:type="spellStart"/>
      <w:r>
        <w:t>-vá</w:t>
      </w:r>
      <w:proofErr w:type="spellEnd"/>
      <w:r>
        <w:t xml:space="preserve"> fejlődött. A magyar nyelvű deákosok, Baróti Szabó Dávid és társai, már az új korszak ízlésé</w:t>
      </w:r>
      <w:r>
        <w:t>t képviselik, a mozgalom elindítói azonban még a rokokó periódus verselői közül kerültek ki.</w:t>
      </w:r>
    </w:p>
    <w:p w:rsidR="00000000" w:rsidRDefault="00256144">
      <w:pPr>
        <w:spacing w:after="0"/>
        <w:jc w:val="left"/>
      </w:pPr>
      <w:r>
        <w:t xml:space="preserve">Az időmértékes magyar vers immár nem alkalomszerű művelése, hanem folyamatos gyakorlata és végleges meghonosodása több tényező eredménye. Fontos szerepet játszott </w:t>
      </w:r>
      <w:r>
        <w:t xml:space="preserve">ebben a 18. század első felének általános </w:t>
      </w:r>
      <w:proofErr w:type="spellStart"/>
      <w:r>
        <w:t>ellatinosodása</w:t>
      </w:r>
      <w:proofErr w:type="spellEnd"/>
      <w:r>
        <w:t>, amely a deákos műveltséget és a latin metrumot széles körben ismertté tette. De nem kevésbé jelentős mozzanat a rokokó költők törekvése az elegáns rövidségre, a szószaporításra, díszítőhalmozásra ké</w:t>
      </w:r>
      <w:r>
        <w:t>sztető Gyöngyösi-verssel szemben. Ezért tisztelték annyira Faludi fejlett verstechnikáját, és ugyanezért vált számukra csábítóvá az antik metrum. Erről ugyanis nemcsak azt ismerték fel, hogy mennyire könnyen alkalmazható a magyar nyelvre, hanem azokat a le</w:t>
      </w:r>
      <w:r>
        <w:t xml:space="preserve">hetőségeket is, melyeket a tömörség, fegyelem, új nyelvi megoldások szempontjából nyújtott. Ha a deákosok más utat választottak is, mint Faludi, az időmértékkel ugyanazt a hatást kívánták elérni, amit </w:t>
      </w:r>
      <w:proofErr w:type="spellStart"/>
      <w:r>
        <w:t>nagyrabecsült</w:t>
      </w:r>
      <w:proofErr w:type="spellEnd"/>
      <w:r>
        <w:t xml:space="preserve"> kortársuk a maga újszerűen alkalmazott, d</w:t>
      </w:r>
      <w:r>
        <w:t>e hagyományos eszközeivel.</w:t>
      </w:r>
    </w:p>
    <w:p w:rsidR="00000000" w:rsidRDefault="00256144">
      <w:pPr>
        <w:spacing w:after="0"/>
        <w:jc w:val="left"/>
      </w:pPr>
      <w:r>
        <w:t>E felismerések első ízben Molnár Jánosban érlelődtek tudatossá.</w:t>
      </w:r>
      <w:r>
        <w:rPr>
          <w:i/>
          <w:iCs/>
        </w:rPr>
        <w:t xml:space="preserve"> A régi jeles épületekről</w:t>
      </w:r>
      <w:r>
        <w:t xml:space="preserve"> (1760) írott – már ismertetett – művébe időmértékes verssorokat illesztett, s eljárását a </w:t>
      </w:r>
      <w:proofErr w:type="spellStart"/>
      <w:r>
        <w:t>Festetich</w:t>
      </w:r>
      <w:proofErr w:type="spellEnd"/>
      <w:r>
        <w:t xml:space="preserve"> Pálhoz címzett ajánlásában meg is okolta</w:t>
      </w:r>
      <w:r>
        <w:t>. Újításával – írja – hazájának "nem kisebbségére, hanem nagy ékességére" kíván kedveskedni, örömmel állapítja meg, hogy magyar nyelvéhez nagyon jól illik a klasszikus metrum, és hangoztatja, hogy nem kell arra várni, míg mások is alkalmazzák. A rímes vers</w:t>
      </w:r>
      <w:r>
        <w:t xml:space="preserve"> ellen az a legfőbb érve, hogy unalmas, egyhangú; míg az </w:t>
      </w:r>
      <w:proofErr w:type="spellStart"/>
      <w:r>
        <w:t>időmórtékben</w:t>
      </w:r>
      <w:proofErr w:type="spellEnd"/>
      <w:r>
        <w:t xml:space="preserve"> "mindent válogatva </w:t>
      </w:r>
      <w:proofErr w:type="spellStart"/>
      <w:r>
        <w:t>helyheztetünk</w:t>
      </w:r>
      <w:proofErr w:type="spellEnd"/>
      <w:r>
        <w:t>". Meggyőződése, hogy "aki a szép magyarságot gyarapítani kívánja, lehetetlen, hogy ily munkához látván, nagy hasznát ne vegye". Molnár véleményének helye</w:t>
      </w:r>
      <w:r>
        <w:t xml:space="preserve">sségét hamar igazolta az idő: az új verselési mód bevezetése annyira aktuális volt, hogy rendtársai, Baróti Szabó és Rájnis József tőle függetlenül kezdtek időmértékes verseket írni; a protestáns iskolai költészetet művelő Kalmár György (szül. 1726) pedig </w:t>
      </w:r>
      <w:r>
        <w:t>már 1761-ben hozzáfogott magyar hexameterek írásához (</w:t>
      </w:r>
      <w:proofErr w:type="spellStart"/>
      <w:r>
        <w:rPr>
          <w:i/>
          <w:iCs/>
        </w:rPr>
        <w:t>Prodromus</w:t>
      </w:r>
      <w:proofErr w:type="spellEnd"/>
      <w:r>
        <w:t xml:space="preserve"> (Tervezet), 1770).</w:t>
      </w:r>
    </w:p>
    <w:p w:rsidR="00000000" w:rsidRDefault="00256144">
      <w:pPr>
        <w:jc w:val="center"/>
      </w:pPr>
      <w:r>
        <w:t>*</w:t>
      </w:r>
    </w:p>
    <w:p w:rsidR="00000000" w:rsidRDefault="00256144">
      <w:pPr>
        <w:spacing w:after="0"/>
        <w:jc w:val="left"/>
      </w:pPr>
      <w:r>
        <w:t>A latin deákos költészet magyarra váltásával lezárult a magyarországi latin költészet utolsó korszaka is. A latin versírás ettől kezdve végleg elvesztette jelentőségét, tu</w:t>
      </w:r>
      <w:r>
        <w:t>dós játékká, esetleg exkluzív körök formalista mutatványává sekélyesedett. Sok évszázados története során azonban a magyar poézisnek számos értékes ösztönzést adott, s még végső szakaszában is új vívmányokkal járult hozzá annak fejlődéséhez. Az időmértékes</w:t>
      </w:r>
      <w:r>
        <w:t xml:space="preserve"> verselés meggyökereztetése s az antik költői műfajok divatjának megteremtése a klasszicizmus és romantika magyar költészetét számottevően gazdagította.</w:t>
      </w:r>
    </w:p>
    <w:p w:rsidR="00000000" w:rsidRDefault="00256144">
      <w:pPr>
        <w:pStyle w:val="5"/>
      </w:pPr>
      <w:bookmarkStart w:id="5" w:name="02-581"/>
      <w:bookmarkEnd w:id="5"/>
      <w:proofErr w:type="spellStart"/>
      <w:r>
        <w:rPr>
          <w:rStyle w:val="Oldalszm"/>
          <w:b/>
          <w:bCs/>
        </w:rPr>
        <w:t>581</w:t>
      </w:r>
      <w:r>
        <w:t>Irodalom</w:t>
      </w:r>
      <w:proofErr w:type="spellEnd"/>
    </w:p>
    <w:p w:rsidR="00000000" w:rsidRDefault="00256144">
      <w:pPr>
        <w:spacing w:after="0"/>
        <w:jc w:val="left"/>
      </w:pPr>
      <w:r>
        <w:rPr>
          <w:i/>
          <w:iCs/>
        </w:rPr>
        <w:t>Pécsi Ödön:</w:t>
      </w:r>
      <w:r>
        <w:t xml:space="preserve"> Molnár János élete és művei. Szeged 1896. –</w:t>
      </w:r>
      <w:r>
        <w:rPr>
          <w:i/>
          <w:iCs/>
        </w:rPr>
        <w:t xml:space="preserve"> Császár Elemér:</w:t>
      </w:r>
      <w:r>
        <w:t xml:space="preserve"> A deáko</w:t>
      </w:r>
      <w:r>
        <w:t>s iskola. 1905. –</w:t>
      </w:r>
      <w:r>
        <w:rPr>
          <w:i/>
          <w:iCs/>
        </w:rPr>
        <w:t xml:space="preserve"> Jánosi Béla:</w:t>
      </w:r>
      <w:r>
        <w:t xml:space="preserve"> Szerdahely György Alajos </w:t>
      </w:r>
      <w:proofErr w:type="spellStart"/>
      <w:r>
        <w:t>aesthetikája</w:t>
      </w:r>
      <w:proofErr w:type="spellEnd"/>
      <w:r>
        <w:t>. 1914. –</w:t>
      </w:r>
      <w:r>
        <w:rPr>
          <w:i/>
          <w:iCs/>
        </w:rPr>
        <w:t xml:space="preserve"> Gálos Rezső:</w:t>
      </w:r>
      <w:r>
        <w:t xml:space="preserve"> Adatok a deákos költészet kialakulásának történetéhez. Győr 1932.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44"/>
    <w:rsid w:val="0025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ACFACE-4AE7-4E85-B89B-7A6301E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144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256144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1496</Words>
  <Characters>10329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2019-07-27T17:32:00Z</dcterms:created>
  <dcterms:modified xsi:type="dcterms:W3CDTF">2019-07-27T17:32:00Z</dcterms:modified>
</cp:coreProperties>
</file>